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leader="none" w:pos="345"/>
          <w:tab w:val="left" w:leader="none" w:pos="2127"/>
          <w:tab w:val="left" w:leader="none" w:pos="609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leader="none" w:pos="345"/>
          <w:tab w:val="left" w:leader="none" w:pos="2127"/>
          <w:tab w:val="left" w:leader="none" w:pos="609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 Encuentro de Vicerrectores de Investigación RPU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Acuerdos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Fecha: viernes 12 de marzo de 2021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Hora de inicio: 11:00 am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Hora de fin: 1:30 pm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30.0" w:type="dxa"/>
        <w:jc w:val="left"/>
        <w:tblInd w:w="-108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blBorders>
        <w:tblLayout w:type="fixed"/>
        <w:tblLook w:val="00A0"/>
      </w:tblPr>
      <w:tblGrid>
        <w:gridCol w:w="4503"/>
        <w:gridCol w:w="3827"/>
        <w:tblGridChange w:id="0">
          <w:tblGrid>
            <w:gridCol w:w="4503"/>
            <w:gridCol w:w="3827"/>
          </w:tblGrid>
        </w:tblGridChange>
      </w:tblGrid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Asistió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142" w:firstLine="0"/>
              <w:jc w:val="both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Se excusó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Pontificia Universidad Católica del Perú (PUCP)</w:t>
              <w:tab/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de Piura (UNP)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San Cristóbal de Huamanga (UNSCH)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Andina del Cusco (UAC)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Peruana Cayetano Heredia (UPCH)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Toribio Rodríguez de Mendoza (UNTRM)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del Centro del Perú (UNCP)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de Trujillo (UNT)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de San Agustín (UNSA)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Hermilio Valdizán de Huánuco (UNHEVAL)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Católica de Trujillo (UCT) </w:t>
              <w:tab/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Católica de Santa María (UCSM)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Agraria de la Selva (UNAS)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Santiago Antúnez de Mayolo (UNASAM)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Jorge Basadre Grohmann (UNJBG)</w:t>
              <w:tab/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de Huancavelica (UNH)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de Cajamarca (UNC)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de San Martín (UNSM) 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San Antonio Abad del Cusco (UNSAAC)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de la Amazonía Peruana (UNAP)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de Ucayali (UNU)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del Altiplano (UNA)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Nacional Pedro Ruiz Gallo (UNPRG)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8505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850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Luego de una jornada de trabajo los vicerrectores de investigación de las universidades RPU llegaron a los siguientes acuerdos:</w:t>
      </w:r>
    </w:p>
    <w:p w:rsidR="00000000" w:rsidDel="00000000" w:rsidP="00000000" w:rsidRDefault="00000000" w:rsidRPr="00000000" w14:paraId="0000002A">
      <w:pPr>
        <w:tabs>
          <w:tab w:val="left" w:leader="none" w:pos="8505"/>
        </w:tabs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8505"/>
        </w:tabs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Acuerdos: </w:t>
      </w:r>
      <w:r w:rsidDel="00000000" w:rsidR="00000000" w:rsidRPr="00000000">
        <w:rPr>
          <w:sz w:val="28"/>
          <w:szCs w:val="28"/>
          <w:rtl w:val="0"/>
        </w:rPr>
        <w:t xml:space="preserve">La Secretaría Técnica preparará un formulario para obtener las necesidades de los vicerrectores. El formulario deberá ser contestado por los vicerrectores de investigación hasta el 22 de marzo y a partir de la información recolectada se programará una reunión ejecutiva para aprobar la propuesta final de diplomado de gestión de la investigación.</w:t>
      </w:r>
    </w:p>
    <w:p w:rsidR="00000000" w:rsidDel="00000000" w:rsidP="00000000" w:rsidRDefault="00000000" w:rsidRPr="00000000" w14:paraId="0000002C">
      <w:pPr>
        <w:tabs>
          <w:tab w:val="left" w:leader="none" w:pos="8505"/>
        </w:tabs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Responsables: </w:t>
      </w:r>
      <w:r w:rsidDel="00000000" w:rsidR="00000000" w:rsidRPr="00000000">
        <w:rPr>
          <w:sz w:val="28"/>
          <w:szCs w:val="28"/>
          <w:rtl w:val="0"/>
        </w:rPr>
        <w:t xml:space="preserve">Secretaría Técnica y PUCP</w:t>
      </w:r>
    </w:p>
    <w:p w:rsidR="00000000" w:rsidDel="00000000" w:rsidP="00000000" w:rsidRDefault="00000000" w:rsidRPr="00000000" w14:paraId="0000002D">
      <w:pPr>
        <w:tabs>
          <w:tab w:val="left" w:leader="none" w:pos="8505"/>
        </w:tabs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8505"/>
        </w:tabs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Acuerdos: </w:t>
      </w:r>
      <w:r w:rsidDel="00000000" w:rsidR="00000000" w:rsidRPr="00000000">
        <w:rPr>
          <w:sz w:val="28"/>
          <w:szCs w:val="28"/>
          <w:rtl w:val="0"/>
        </w:rPr>
        <w:t xml:space="preserve">El vicerrectorado de investigación de la PUCP enviará a los vicerrectores el tutorial para ayudar a docentes a inscribirse en la página de RENACYT</w:t>
      </w:r>
    </w:p>
    <w:p w:rsidR="00000000" w:rsidDel="00000000" w:rsidP="00000000" w:rsidRDefault="00000000" w:rsidRPr="00000000" w14:paraId="0000002F">
      <w:pPr>
        <w:tabs>
          <w:tab w:val="left" w:leader="none" w:pos="8505"/>
        </w:tabs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Responsables: </w:t>
      </w:r>
      <w:r w:rsidDel="00000000" w:rsidR="00000000" w:rsidRPr="00000000">
        <w:rPr>
          <w:sz w:val="28"/>
          <w:szCs w:val="28"/>
          <w:rtl w:val="0"/>
        </w:rPr>
        <w:t xml:space="preserve">Todas las universidades RPU</w:t>
      </w:r>
    </w:p>
    <w:p w:rsidR="00000000" w:rsidDel="00000000" w:rsidP="00000000" w:rsidRDefault="00000000" w:rsidRPr="00000000" w14:paraId="00000030">
      <w:pPr>
        <w:tabs>
          <w:tab w:val="left" w:leader="none" w:pos="8505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8505"/>
        </w:tabs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Acuerdos: </w:t>
      </w:r>
      <w:r w:rsidDel="00000000" w:rsidR="00000000" w:rsidRPr="00000000">
        <w:rPr>
          <w:sz w:val="28"/>
          <w:szCs w:val="28"/>
          <w:rtl w:val="0"/>
        </w:rPr>
        <w:t xml:space="preserve">Se conforma una comisión asesora para la segunda semana de la investigación y otras iniciativas. </w:t>
      </w:r>
    </w:p>
    <w:p w:rsidR="00000000" w:rsidDel="00000000" w:rsidP="00000000" w:rsidRDefault="00000000" w:rsidRPr="00000000" w14:paraId="00000032">
      <w:pPr>
        <w:tabs>
          <w:tab w:val="left" w:leader="none" w:pos="8505"/>
        </w:tabs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Responsables:</w:t>
      </w:r>
      <w:r w:rsidDel="00000000" w:rsidR="00000000" w:rsidRPr="00000000">
        <w:rPr>
          <w:sz w:val="28"/>
          <w:szCs w:val="28"/>
          <w:rtl w:val="0"/>
        </w:rPr>
        <w:t xml:space="preserve"> PUCP, UNCP, UNP, UNSCH, UNT y UNTRM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5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6" w:type="default"/>
      <w:footerReference r:id="rId7" w:type="default"/>
      <w:pgSz w:h="16839" w:w="11907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1361440</wp:posOffset>
          </wp:positionH>
          <wp:positionV relativeFrom="paragraph">
            <wp:posOffset>-81279</wp:posOffset>
          </wp:positionV>
          <wp:extent cx="2425065" cy="387350"/>
          <wp:effectExtent b="0" l="0" r="0" t="0"/>
          <wp:wrapTopAndBottom distB="0" distT="0"/>
          <wp:docPr descr="Descripción: Resultado de imagen para logo RPU" id="1" name="image1.jpg"/>
          <a:graphic>
            <a:graphicData uri="http://schemas.openxmlformats.org/drawingml/2006/picture">
              <pic:pic>
                <pic:nvPicPr>
                  <pic:cNvPr descr="Descripción: Resultado de imagen para logo RPU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5065" cy="387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